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25645" w:rsidRDefault="008E4C23" w:rsidP="008E4C23">
      <w:pPr>
        <w:pStyle w:val="Heading1"/>
      </w:pPr>
      <w:r>
        <w:fldChar w:fldCharType="begin"/>
      </w:r>
      <w:r>
        <w:instrText xml:space="preserve"> MACROBUTTON NUMBERING </w:instrText>
      </w:r>
      <w:r>
        <w:fldChar w:fldCharType="begin"/>
      </w:r>
      <w:r>
        <w:instrText xml:space="preserve"> SEQ  cpara \h \r 0</w:instrText>
      </w:r>
      <w:r>
        <w:fldChar w:fldCharType="end"/>
      </w:r>
      <w:r>
        <w:fldChar w:fldCharType="begin"/>
      </w:r>
      <w:r>
        <w:instrText xml:space="preserve"> SEQ  ccount \h</w:instrText>
      </w:r>
      <w:r>
        <w:fldChar w:fldCharType="end"/>
      </w:r>
      <w:r>
        <w:fldChar w:fldCharType="end"/>
      </w:r>
      <w:r>
        <w:t>Inequality in ages of death by education</w:t>
      </w:r>
    </w:p>
    <w:p w:rsidR="008E4C23" w:rsidRDefault="008E4C23" w:rsidP="008E4C23">
      <w:pPr>
        <w:pStyle w:val="Heading3"/>
      </w:pPr>
      <w:r>
        <w:t>Goal and target addressed</w:t>
      </w:r>
    </w:p>
    <w:p w:rsidR="008E4C23" w:rsidRDefault="008E4C23" w:rsidP="008E4C23">
      <w:pPr>
        <w:pStyle w:val="BodyText"/>
      </w:pPr>
      <w:r>
        <w:t>Goal 10: Reduce inequality within and across countries</w:t>
      </w:r>
      <w:r w:rsidR="008A5E4F">
        <w:t>.</w:t>
      </w:r>
    </w:p>
    <w:p w:rsidR="008E4C23" w:rsidRPr="008E4C23" w:rsidRDefault="008E4C23" w:rsidP="00FC78A1">
      <w:pPr>
        <w:pStyle w:val="BodyText"/>
      </w:pPr>
      <w:r>
        <w:t xml:space="preserve">Target 10.3: </w:t>
      </w:r>
      <w:r w:rsidR="00923D9D">
        <w:t>E</w:t>
      </w:r>
      <w:r>
        <w:t>nsure equal opportunities and reduce inequalities of outcome, inclu</w:t>
      </w:r>
      <w:r w:rsidR="008A5E4F">
        <w:t>d</w:t>
      </w:r>
      <w:r>
        <w:t>ing through eliminating discrimina</w:t>
      </w:r>
      <w:r w:rsidR="008A5E4F">
        <w:t>to</w:t>
      </w:r>
      <w:r>
        <w:t>ry law</w:t>
      </w:r>
      <w:r w:rsidR="008A5E4F">
        <w:t>s</w:t>
      </w:r>
      <w:r>
        <w:t>, policies and practices and promoting appropriate legislation, policies and actions in this regard</w:t>
      </w:r>
    </w:p>
    <w:p w:rsidR="008E4C23" w:rsidRDefault="008E4C23" w:rsidP="008E4C23">
      <w:pPr>
        <w:pStyle w:val="Heading3"/>
      </w:pPr>
      <w:r>
        <w:t>Definition and method of computation</w:t>
      </w:r>
    </w:p>
    <w:p w:rsidR="00923D9D" w:rsidRDefault="00923D9D" w:rsidP="00923D9D">
      <w:pPr>
        <w:pStyle w:val="BodyText"/>
        <w:rPr>
          <w:lang w:eastAsia="en-US"/>
        </w:rPr>
      </w:pPr>
      <w:r w:rsidRPr="00923D9D">
        <w:rPr>
          <w:i/>
          <w:lang w:eastAsia="en-US"/>
        </w:rPr>
        <w:t>Definition</w:t>
      </w:r>
      <w:r>
        <w:rPr>
          <w:lang w:eastAsia="en-US"/>
        </w:rPr>
        <w:t xml:space="preserve">. </w:t>
      </w:r>
      <w:r w:rsidR="00FC78A1">
        <w:rPr>
          <w:lang w:eastAsia="en-US"/>
        </w:rPr>
        <w:t xml:space="preserve">Inequalities in ages of death can be summarised through a variety of measures. One option is to calculate life expectancies for people </w:t>
      </w:r>
      <w:r w:rsidR="00167A21">
        <w:rPr>
          <w:lang w:eastAsia="en-US"/>
        </w:rPr>
        <w:t xml:space="preserve">of </w:t>
      </w:r>
      <w:r>
        <w:rPr>
          <w:lang w:eastAsia="en-US"/>
        </w:rPr>
        <w:t xml:space="preserve">a given age </w:t>
      </w:r>
      <w:r w:rsidR="00FC78A1">
        <w:rPr>
          <w:lang w:eastAsia="en-US"/>
        </w:rPr>
        <w:t xml:space="preserve">with different </w:t>
      </w:r>
      <w:r w:rsidR="003E65FC">
        <w:rPr>
          <w:lang w:eastAsia="en-US"/>
        </w:rPr>
        <w:t xml:space="preserve">levels of </w:t>
      </w:r>
      <w:r w:rsidR="00FC78A1">
        <w:rPr>
          <w:lang w:eastAsia="en-US"/>
        </w:rPr>
        <w:t>education</w:t>
      </w:r>
      <w:r w:rsidR="003E65FC">
        <w:rPr>
          <w:lang w:eastAsia="en-US"/>
        </w:rPr>
        <w:t>al attainment</w:t>
      </w:r>
      <w:r w:rsidR="00FC78A1">
        <w:rPr>
          <w:lang w:eastAsia="en-US"/>
        </w:rPr>
        <w:t xml:space="preserve">. </w:t>
      </w:r>
    </w:p>
    <w:p w:rsidR="00FC78A1" w:rsidRPr="00923D9D" w:rsidRDefault="00923D9D" w:rsidP="00923D9D">
      <w:pPr>
        <w:pStyle w:val="BodyText"/>
        <w:rPr>
          <w:lang w:eastAsia="en-US"/>
        </w:rPr>
      </w:pPr>
      <w:r>
        <w:rPr>
          <w:i/>
          <w:lang w:eastAsia="en-US"/>
        </w:rPr>
        <w:t xml:space="preserve">Method. </w:t>
      </w:r>
      <w:r w:rsidR="00FC78A1" w:rsidRPr="00923D9D">
        <w:rPr>
          <w:lang w:eastAsia="en-US"/>
        </w:rPr>
        <w:t xml:space="preserve">Whatever the summary measure used, these measures require detailed data on deaths by age, gender and education. These detailed data can be produced based on two approaches. </w:t>
      </w:r>
      <w:r>
        <w:rPr>
          <w:lang w:eastAsia="en-US"/>
        </w:rPr>
        <w:t>The f</w:t>
      </w:r>
      <w:r w:rsidR="00FC78A1" w:rsidRPr="00923D9D">
        <w:rPr>
          <w:lang w:eastAsia="en-US"/>
        </w:rPr>
        <w:t>irst</w:t>
      </w:r>
      <w:r w:rsidR="00167A21">
        <w:rPr>
          <w:lang w:eastAsia="en-US"/>
        </w:rPr>
        <w:t xml:space="preserve"> </w:t>
      </w:r>
      <w:r>
        <w:rPr>
          <w:lang w:eastAsia="en-US"/>
        </w:rPr>
        <w:t xml:space="preserve">is to rely on the </w:t>
      </w:r>
      <w:r w:rsidR="00FC78A1" w:rsidRPr="00923D9D">
        <w:rPr>
          <w:lang w:eastAsia="en-US"/>
        </w:rPr>
        <w:t xml:space="preserve">information </w:t>
      </w:r>
      <w:r>
        <w:rPr>
          <w:lang w:eastAsia="en-US"/>
        </w:rPr>
        <w:t xml:space="preserve">included in </w:t>
      </w:r>
      <w:r w:rsidR="00FC78A1" w:rsidRPr="00923D9D">
        <w:rPr>
          <w:lang w:eastAsia="en-US"/>
        </w:rPr>
        <w:t xml:space="preserve">deaths </w:t>
      </w:r>
      <w:r>
        <w:rPr>
          <w:lang w:eastAsia="en-US"/>
        </w:rPr>
        <w:t>certificates</w:t>
      </w:r>
      <w:r w:rsidR="00167A21">
        <w:rPr>
          <w:lang w:eastAsia="en-US"/>
        </w:rPr>
        <w:t>,</w:t>
      </w:r>
      <w:r>
        <w:rPr>
          <w:lang w:eastAsia="en-US"/>
        </w:rPr>
        <w:t xml:space="preserve"> when these certificates provide information on the highest level of completed education of the deceased; estimates </w:t>
      </w:r>
      <w:r w:rsidR="00167A21">
        <w:rPr>
          <w:lang w:eastAsia="en-US"/>
        </w:rPr>
        <w:t xml:space="preserve">based on this </w:t>
      </w:r>
      <w:r w:rsidR="003E65FC">
        <w:rPr>
          <w:lang w:eastAsia="en-US"/>
        </w:rPr>
        <w:t xml:space="preserve">(‘unlinked’) </w:t>
      </w:r>
      <w:r w:rsidR="00167A21">
        <w:rPr>
          <w:lang w:eastAsia="en-US"/>
        </w:rPr>
        <w:t xml:space="preserve">approach </w:t>
      </w:r>
      <w:r>
        <w:rPr>
          <w:lang w:eastAsia="en-US"/>
        </w:rPr>
        <w:t xml:space="preserve">may however </w:t>
      </w:r>
      <w:r w:rsidR="00FC78A1" w:rsidRPr="00923D9D">
        <w:rPr>
          <w:lang w:eastAsia="en-US"/>
        </w:rPr>
        <w:t xml:space="preserve">be affected by misreporting of the required information. </w:t>
      </w:r>
      <w:r>
        <w:rPr>
          <w:lang w:eastAsia="en-US"/>
        </w:rPr>
        <w:t>The second is to rely</w:t>
      </w:r>
      <w:r w:rsidR="00FC78A1" w:rsidRPr="00923D9D">
        <w:rPr>
          <w:lang w:eastAsia="en-US"/>
        </w:rPr>
        <w:t xml:space="preserve"> on unit-data linkage </w:t>
      </w:r>
      <w:r>
        <w:rPr>
          <w:lang w:eastAsia="en-US"/>
        </w:rPr>
        <w:t xml:space="preserve">of death certificates </w:t>
      </w:r>
      <w:r w:rsidR="00FC78A1" w:rsidRPr="00923D9D">
        <w:rPr>
          <w:lang w:eastAsia="en-US"/>
        </w:rPr>
        <w:t>to another source (e.g. a census)</w:t>
      </w:r>
      <w:r>
        <w:rPr>
          <w:lang w:eastAsia="en-US"/>
        </w:rPr>
        <w:t>,</w:t>
      </w:r>
      <w:r w:rsidR="00FC78A1" w:rsidRPr="00923D9D">
        <w:rPr>
          <w:lang w:eastAsia="en-US"/>
        </w:rPr>
        <w:t xml:space="preserve"> which </w:t>
      </w:r>
      <w:r w:rsidR="003E65FC">
        <w:rPr>
          <w:lang w:eastAsia="en-US"/>
        </w:rPr>
        <w:t xml:space="preserve">includes </w:t>
      </w:r>
      <w:r w:rsidR="00FC78A1" w:rsidRPr="00923D9D">
        <w:rPr>
          <w:lang w:eastAsia="en-US"/>
        </w:rPr>
        <w:t xml:space="preserve">information on education of the deceased: while less affected by reporting errors, implementation of this </w:t>
      </w:r>
      <w:r w:rsidR="00167A21">
        <w:rPr>
          <w:lang w:eastAsia="en-US"/>
        </w:rPr>
        <w:t>(</w:t>
      </w:r>
      <w:r w:rsidR="00FC78A1" w:rsidRPr="00923D9D">
        <w:rPr>
          <w:lang w:eastAsia="en-US"/>
        </w:rPr>
        <w:t>‘linked</w:t>
      </w:r>
      <w:r w:rsidR="00167A21">
        <w:rPr>
          <w:lang w:eastAsia="en-US"/>
        </w:rPr>
        <w:t>’)</w:t>
      </w:r>
      <w:r w:rsidR="00FC78A1" w:rsidRPr="00923D9D">
        <w:rPr>
          <w:lang w:eastAsia="en-US"/>
        </w:rPr>
        <w:t xml:space="preserve"> approach requires common assumption</w:t>
      </w:r>
      <w:r w:rsidR="003E65FC">
        <w:rPr>
          <w:lang w:eastAsia="en-US"/>
        </w:rPr>
        <w:t>s</w:t>
      </w:r>
      <w:r w:rsidR="00FC78A1" w:rsidRPr="00923D9D">
        <w:rPr>
          <w:lang w:eastAsia="en-US"/>
        </w:rPr>
        <w:t xml:space="preserve"> on how to perform the data linkage</w:t>
      </w:r>
      <w:r w:rsidR="003E65FC">
        <w:rPr>
          <w:lang w:eastAsia="en-US"/>
        </w:rPr>
        <w:t xml:space="preserve"> and common treatments of specific groups (e.g. migrants)</w:t>
      </w:r>
      <w:r w:rsidR="00FC78A1" w:rsidRPr="00923D9D">
        <w:rPr>
          <w:lang w:eastAsia="en-US"/>
        </w:rPr>
        <w:t>.</w:t>
      </w:r>
    </w:p>
    <w:p w:rsidR="008E4C23" w:rsidRPr="00FC78A1" w:rsidRDefault="008E4C23" w:rsidP="00FC78A1">
      <w:pPr>
        <w:pStyle w:val="Heading3"/>
      </w:pPr>
      <w:r w:rsidRPr="00FC78A1">
        <w:t>Rationale and interpretation</w:t>
      </w:r>
    </w:p>
    <w:p w:rsidR="00923D9D" w:rsidRDefault="008A5E4F" w:rsidP="008A5E4F">
      <w:pPr>
        <w:pStyle w:val="BodyText"/>
      </w:pPr>
      <w:r>
        <w:t>Among all outcome inequalities, those pertaining to death are among th</w:t>
      </w:r>
      <w:r w:rsidR="00626BDB">
        <w:t>e</w:t>
      </w:r>
      <w:r>
        <w:t xml:space="preserve"> mo</w:t>
      </w:r>
      <w:r w:rsidR="00626BDB">
        <w:t>st</w:t>
      </w:r>
      <w:r>
        <w:t xml:space="preserve"> disturbing. </w:t>
      </w:r>
      <w:r w:rsidR="00923D9D">
        <w:t>A</w:t>
      </w:r>
      <w:r>
        <w:t>ll countries w</w:t>
      </w:r>
      <w:r w:rsidR="003E65FC">
        <w:t xml:space="preserve">ith this type of </w:t>
      </w:r>
      <w:r>
        <w:t xml:space="preserve">evidence display significant </w:t>
      </w:r>
      <w:r w:rsidR="0091520D">
        <w:t>‘</w:t>
      </w:r>
      <w:r>
        <w:t>social gradients</w:t>
      </w:r>
      <w:r w:rsidR="0091520D">
        <w:t>’</w:t>
      </w:r>
      <w:r w:rsidR="00626BDB">
        <w:t xml:space="preserve"> in ages of death</w:t>
      </w:r>
      <w:r>
        <w:t xml:space="preserve">, with people from </w:t>
      </w:r>
      <w:r w:rsidR="0091520D">
        <w:t>more disadvantaged background</w:t>
      </w:r>
      <w:r w:rsidR="003E65FC">
        <w:t>s</w:t>
      </w:r>
      <w:r w:rsidR="0091520D">
        <w:t xml:space="preserve"> </w:t>
      </w:r>
      <w:r w:rsidR="003E65FC">
        <w:t>dying</w:t>
      </w:r>
      <w:r w:rsidR="0091520D">
        <w:t xml:space="preserve"> earlier than their more </w:t>
      </w:r>
      <w:r w:rsidR="00626BDB">
        <w:t>educated</w:t>
      </w:r>
      <w:r w:rsidR="0091520D">
        <w:t xml:space="preserve"> peers. Lower inequalities in ages of death across people </w:t>
      </w:r>
      <w:r w:rsidR="003E65FC">
        <w:t xml:space="preserve">from </w:t>
      </w:r>
      <w:r w:rsidR="0091520D">
        <w:t xml:space="preserve">different socio-economic background provide an unambiguous indication of lower “inequalities of outcomes”, and are less affected by measurement </w:t>
      </w:r>
      <w:r w:rsidR="003E65FC">
        <w:t xml:space="preserve">errors and biases </w:t>
      </w:r>
      <w:r w:rsidR="0091520D">
        <w:t>tha</w:t>
      </w:r>
      <w:r w:rsidR="00626BDB">
        <w:t>n</w:t>
      </w:r>
      <w:r w:rsidR="0091520D">
        <w:t xml:space="preserve"> self-reported measures of people’s health conditions.</w:t>
      </w:r>
      <w:r w:rsidR="00FC78A1">
        <w:t xml:space="preserve"> </w:t>
      </w:r>
    </w:p>
    <w:p w:rsidR="008A5E4F" w:rsidRPr="00923D9D" w:rsidRDefault="00626BDB" w:rsidP="008A5E4F">
      <w:pPr>
        <w:pStyle w:val="BodyText"/>
      </w:pPr>
      <w:r w:rsidRPr="00923D9D">
        <w:t>Breaking down death</w:t>
      </w:r>
      <w:r w:rsidR="003E65FC">
        <w:t>s</w:t>
      </w:r>
      <w:r w:rsidRPr="00923D9D">
        <w:t xml:space="preserve"> by education (rather than income or occupation) has the advantage of greater cross-country comparability </w:t>
      </w:r>
      <w:r w:rsidR="00923D9D">
        <w:t>(</w:t>
      </w:r>
      <w:r w:rsidRPr="00923D9D">
        <w:t xml:space="preserve">based on ISCED classification) and </w:t>
      </w:r>
      <w:r w:rsidR="00923D9D">
        <w:t xml:space="preserve">is </w:t>
      </w:r>
      <w:r w:rsidRPr="00923D9D">
        <w:t>less affected by reverse-causality (e.g. effect of prolonged illness on current income)</w:t>
      </w:r>
      <w:r w:rsidR="00923D9D">
        <w:t>.</w:t>
      </w:r>
      <w:r w:rsidR="00FC78A1" w:rsidRPr="00923D9D">
        <w:t xml:space="preserve"> </w:t>
      </w:r>
    </w:p>
    <w:p w:rsidR="008E4C23" w:rsidRDefault="008E4C23" w:rsidP="008E4C23">
      <w:pPr>
        <w:pStyle w:val="Heading3"/>
      </w:pPr>
      <w:r>
        <w:t>Sources and data collection</w:t>
      </w:r>
    </w:p>
    <w:p w:rsidR="008A5E4F" w:rsidRPr="008A5E4F" w:rsidRDefault="0091520D" w:rsidP="008A5E4F">
      <w:pPr>
        <w:pStyle w:val="BodyText"/>
      </w:pPr>
      <w:r>
        <w:t xml:space="preserve">Measures of inequality of ages of </w:t>
      </w:r>
      <w:r w:rsidR="00626BDB">
        <w:t>death by education are available in several OECD countries</w:t>
      </w:r>
      <w:r w:rsidR="00041D23">
        <w:t xml:space="preserve">. </w:t>
      </w:r>
      <w:r w:rsidR="00466445">
        <w:t xml:space="preserve">Measures for life expectancy at age 30 by gender and educational attainment are </w:t>
      </w:r>
      <w:r w:rsidR="003E65FC">
        <w:t xml:space="preserve">reported </w:t>
      </w:r>
      <w:r w:rsidR="00466445">
        <w:t xml:space="preserve">in </w:t>
      </w:r>
      <w:r w:rsidR="00466445" w:rsidRPr="00466445">
        <w:rPr>
          <w:i/>
        </w:rPr>
        <w:t>OECD Heath a Glance</w:t>
      </w:r>
      <w:r w:rsidR="003E65FC">
        <w:rPr>
          <w:i/>
        </w:rPr>
        <w:t xml:space="preserve"> </w:t>
      </w:r>
      <w:r w:rsidR="003E65FC">
        <w:t>for 14 European countries</w:t>
      </w:r>
      <w:r w:rsidR="00466445">
        <w:t xml:space="preserve">. </w:t>
      </w:r>
      <w:r w:rsidR="00923D9D">
        <w:t>The OECD</w:t>
      </w:r>
      <w:r w:rsidR="00041D23">
        <w:t xml:space="preserve">, in cooperation with Eurostat, </w:t>
      </w:r>
      <w:r w:rsidR="00923D9D">
        <w:t xml:space="preserve">is undertaking a project to collect such information from member countries. In the first phase of the project, country estimates are being collected for the most recent year available whatever the methodology available in the country. In a </w:t>
      </w:r>
      <w:r w:rsidR="00923D9D">
        <w:lastRenderedPageBreak/>
        <w:t xml:space="preserve">second phase, </w:t>
      </w:r>
      <w:r w:rsidR="003E65FC">
        <w:t xml:space="preserve">participating </w:t>
      </w:r>
      <w:r w:rsidR="00923D9D">
        <w:t xml:space="preserve">countries </w:t>
      </w:r>
      <w:r w:rsidR="003E65FC">
        <w:t xml:space="preserve">will </w:t>
      </w:r>
      <w:r w:rsidR="00923D9D">
        <w:t xml:space="preserve">generate estimates based on a liked approach </w:t>
      </w:r>
      <w:r w:rsidR="00E77E20">
        <w:t>using the most recent available population census or longitudinal survey</w:t>
      </w:r>
      <w:r w:rsidR="00626BDB">
        <w:t xml:space="preserve">. </w:t>
      </w:r>
    </w:p>
    <w:p w:rsidR="008E4C23" w:rsidRDefault="008E4C23" w:rsidP="008E4C23">
      <w:pPr>
        <w:pStyle w:val="Heading3"/>
      </w:pPr>
      <w:r>
        <w:t>Disaggregation</w:t>
      </w:r>
    </w:p>
    <w:p w:rsidR="00E77E20" w:rsidRDefault="00E77E20" w:rsidP="008A5E4F">
      <w:pPr>
        <w:pStyle w:val="BodyText"/>
      </w:pPr>
      <w:r>
        <w:t xml:space="preserve">The data being collected </w:t>
      </w:r>
      <w:r w:rsidR="00167A21">
        <w:t xml:space="preserve">by the OECD will be </w:t>
      </w:r>
      <w:r>
        <w:t>broken down by:</w:t>
      </w:r>
    </w:p>
    <w:p w:rsidR="00E77E20" w:rsidRDefault="00E77E20" w:rsidP="00E77E20">
      <w:pPr>
        <w:pStyle w:val="ListBullet"/>
      </w:pPr>
      <w:r w:rsidRPr="00E77E20">
        <w:t>gender</w:t>
      </w:r>
    </w:p>
    <w:p w:rsidR="00E77E20" w:rsidRDefault="00E77E20" w:rsidP="00E77E20">
      <w:pPr>
        <w:pStyle w:val="ListBullet"/>
      </w:pPr>
      <w:r w:rsidRPr="00E77E20">
        <w:t>age</w:t>
      </w:r>
      <w:r>
        <w:t>,</w:t>
      </w:r>
      <w:r w:rsidRPr="00E77E20">
        <w:t xml:space="preserve"> i.e. death of people of all ages from 25 to 120, reported by single year of age; </w:t>
      </w:r>
    </w:p>
    <w:p w:rsidR="00E77E20" w:rsidRDefault="00E77E20" w:rsidP="00E77E20">
      <w:pPr>
        <w:pStyle w:val="ListBullet"/>
      </w:pPr>
      <w:r w:rsidRPr="00E77E20">
        <w:t>education</w:t>
      </w:r>
      <w:r>
        <w:t>,</w:t>
      </w:r>
      <w:r w:rsidRPr="00E77E20">
        <w:t xml:space="preserve"> for 5 categories based on ISCED 97, i.e. no schooling, pre-primary/primary/lower secondary, upper-secondary/post-secondary, tertiary, missing educational data</w:t>
      </w:r>
      <w:r>
        <w:t>;</w:t>
      </w:r>
      <w:r w:rsidRPr="00E77E20">
        <w:t xml:space="preserve"> and </w:t>
      </w:r>
    </w:p>
    <w:p w:rsidR="008A5E4F" w:rsidRPr="00E77E20" w:rsidRDefault="00E77E20" w:rsidP="00E77E20">
      <w:pPr>
        <w:pStyle w:val="ListBullet"/>
      </w:pPr>
      <w:r w:rsidRPr="00E77E20">
        <w:t>causes of death</w:t>
      </w:r>
      <w:r>
        <w:t>,</w:t>
      </w:r>
      <w:r w:rsidRPr="00E77E20">
        <w:t xml:space="preserve"> for 5 causes based on the international classification of causes of death </w:t>
      </w:r>
      <w:r>
        <w:t>–</w:t>
      </w:r>
      <w:r w:rsidRPr="00E77E20">
        <w:t xml:space="preserve"> i.e. circulatory system diseases, neoplasm, other diseases, external causes</w:t>
      </w:r>
      <w:r>
        <w:t xml:space="preserve"> –</w:t>
      </w:r>
      <w:r w:rsidRPr="00E77E20">
        <w:t xml:space="preserve"> </w:t>
      </w:r>
      <w:r>
        <w:t xml:space="preserve">and </w:t>
      </w:r>
      <w:r w:rsidRPr="00E77E20">
        <w:t>for ‘all causes</w:t>
      </w:r>
      <w:r>
        <w:t>’.</w:t>
      </w:r>
    </w:p>
    <w:p w:rsidR="00E77E20" w:rsidRPr="00E77E20" w:rsidRDefault="00E77E20" w:rsidP="008A5E4F">
      <w:pPr>
        <w:pStyle w:val="BodyText"/>
      </w:pPr>
    </w:p>
    <w:p w:rsidR="008E4C23" w:rsidRDefault="008E4C23" w:rsidP="008E4C23">
      <w:pPr>
        <w:pStyle w:val="Heading3"/>
      </w:pPr>
      <w:r>
        <w:t>Comments and limitations</w:t>
      </w:r>
    </w:p>
    <w:p w:rsidR="00376CC1" w:rsidRDefault="00167A21" w:rsidP="008A5E4F">
      <w:pPr>
        <w:pStyle w:val="BodyText"/>
      </w:pPr>
      <w:r>
        <w:t xml:space="preserve">Measures of inequalities in ages of death by people’s socio-economic characteristics will fill an important gap in the available information on non-income inequalities. These data will also inform policies in a range of fields, from health-care to </w:t>
      </w:r>
      <w:r w:rsidR="00376CC1">
        <w:t xml:space="preserve">education and pension policies. </w:t>
      </w:r>
    </w:p>
    <w:p w:rsidR="008A5E4F" w:rsidRPr="00376CC1" w:rsidRDefault="00376CC1" w:rsidP="008A5E4F">
      <w:pPr>
        <w:pStyle w:val="BodyText"/>
      </w:pPr>
      <w:r w:rsidRPr="00376CC1">
        <w:t>The unit-data linkage is a time-intensive endeavour, which require</w:t>
      </w:r>
      <w:r>
        <w:t>s</w:t>
      </w:r>
      <w:r w:rsidRPr="00376CC1">
        <w:t xml:space="preserve"> dedicated statistical resources.</w:t>
      </w:r>
    </w:p>
    <w:p w:rsidR="00D60065" w:rsidRPr="00D60065" w:rsidRDefault="00D60065" w:rsidP="008A5E4F">
      <w:pPr>
        <w:pStyle w:val="BodyText"/>
      </w:pPr>
    </w:p>
    <w:p w:rsidR="008E4C23" w:rsidRDefault="008E4C23" w:rsidP="008E4C23">
      <w:pPr>
        <w:pStyle w:val="Heading3"/>
      </w:pPr>
      <w:r>
        <w:t>Gender equality issues</w:t>
      </w:r>
    </w:p>
    <w:p w:rsidR="008A5E4F" w:rsidRPr="008A5E4F" w:rsidRDefault="00D60065" w:rsidP="008A5E4F">
      <w:pPr>
        <w:pStyle w:val="BodyText"/>
      </w:pPr>
      <w:r>
        <w:t xml:space="preserve">The data being collected </w:t>
      </w:r>
      <w:r w:rsidR="00167A21">
        <w:t xml:space="preserve">will </w:t>
      </w:r>
      <w:r>
        <w:t>separately identify man and women of different ages.</w:t>
      </w:r>
    </w:p>
    <w:p w:rsidR="00167A21" w:rsidRDefault="00167A21" w:rsidP="008E4C23">
      <w:pPr>
        <w:pStyle w:val="Heading3"/>
      </w:pPr>
    </w:p>
    <w:p w:rsidR="008E4C23" w:rsidRPr="00167A21" w:rsidRDefault="008E4C23" w:rsidP="008E4C23">
      <w:pPr>
        <w:pStyle w:val="Heading3"/>
      </w:pPr>
      <w:r w:rsidRPr="00167A21">
        <w:t>Data for global and regional monitoring</w:t>
      </w:r>
    </w:p>
    <w:p w:rsidR="008A5E4F" w:rsidRPr="008A5E4F" w:rsidRDefault="00E77E20" w:rsidP="008A5E4F">
      <w:pPr>
        <w:pStyle w:val="BodyText"/>
      </w:pPr>
      <w:r>
        <w:t>The estimates that are currently available cover only a small number of countries. They could however be developed through a coordinated project based on common assumptions and breakdown over the SDGs horizon.</w:t>
      </w:r>
      <w:r w:rsidR="00D60065">
        <w:t xml:space="preserve"> The template developed by the OECD could provide a starting point for this exercise.</w:t>
      </w:r>
    </w:p>
    <w:p w:rsidR="008E4C23" w:rsidRDefault="008E4C23" w:rsidP="008E4C23">
      <w:pPr>
        <w:pStyle w:val="Heading3"/>
      </w:pPr>
      <w:r>
        <w:t>Supplementary information</w:t>
      </w:r>
    </w:p>
    <w:p w:rsidR="008A5E4F" w:rsidRPr="008A5E4F" w:rsidRDefault="008A5E4F" w:rsidP="008A5E4F">
      <w:pPr>
        <w:pStyle w:val="BodyText"/>
      </w:pPr>
    </w:p>
    <w:p w:rsidR="008E4C23" w:rsidRDefault="008E4C23" w:rsidP="008E4C23">
      <w:pPr>
        <w:pStyle w:val="Heading3"/>
      </w:pPr>
      <w:r>
        <w:t>References</w:t>
      </w:r>
    </w:p>
    <w:p w:rsidR="008A5E4F" w:rsidRDefault="00D60065" w:rsidP="008A5E4F">
      <w:pPr>
        <w:pStyle w:val="BodyText"/>
      </w:pPr>
      <w:r>
        <w:t xml:space="preserve">OECD (2013), </w:t>
      </w:r>
      <w:r>
        <w:rPr>
          <w:i/>
        </w:rPr>
        <w:t xml:space="preserve">Health at a Glance, OECD Indicators, </w:t>
      </w:r>
      <w:r>
        <w:t>OECD Publishing, Paris.</w:t>
      </w:r>
    </w:p>
    <w:p w:rsidR="00D60065" w:rsidRPr="00D60065" w:rsidRDefault="00D60065" w:rsidP="008A5E4F">
      <w:pPr>
        <w:pStyle w:val="BodyText"/>
      </w:pPr>
      <w:r>
        <w:t xml:space="preserve">Mackenback </w:t>
      </w:r>
      <w:r w:rsidR="00376CC1">
        <w:t>J.</w:t>
      </w:r>
      <w:r>
        <w:t xml:space="preserve"> (</w:t>
      </w:r>
      <w:r w:rsidR="00376CC1">
        <w:t>2006</w:t>
      </w:r>
      <w:r>
        <w:t>),</w:t>
      </w:r>
      <w:r w:rsidR="00376CC1">
        <w:t xml:space="preserve"> </w:t>
      </w:r>
      <w:r w:rsidR="00376CC1">
        <w:rPr>
          <w:i/>
        </w:rPr>
        <w:t xml:space="preserve">Health Inequalities: Europe in Profile, </w:t>
      </w:r>
      <w:r w:rsidR="00376CC1">
        <w:t>UK Presidency of the EU 2005, UK Department of Health, London.</w:t>
      </w:r>
      <w:r>
        <w:t xml:space="preserve"> </w:t>
      </w:r>
    </w:p>
    <w:sectPr w:rsidR="00D60065" w:rsidRPr="00D60065" w:rsidSect="008E4C23">
      <w:headerReference w:type="even" r:id="rId9"/>
      <w:footerReference w:type="even" r:id="rId10"/>
      <w:footerReference w:type="default" r:id="rId11"/>
      <w:endnotePr>
        <w:numFmt w:val="decimal"/>
      </w:endnotePr>
      <w:pgSz w:w="11906" w:h="16838"/>
      <w:pgMar w:top="1984" w:right="1247" w:bottom="1814" w:left="1191" w:header="1247" w:footer="124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93D" w:rsidRDefault="004C093D">
      <w:r>
        <w:separator/>
      </w:r>
    </w:p>
  </w:endnote>
  <w:endnote w:type="continuationSeparator" w:id="0">
    <w:p w:rsidR="004C093D" w:rsidRDefault="004C0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rsidP="008E4C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25645" w:rsidRDefault="00125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23" w:rsidRDefault="008E4C23" w:rsidP="00F87CF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D61C4">
      <w:rPr>
        <w:rStyle w:val="PageNumber"/>
        <w:noProof/>
      </w:rPr>
      <w:t>1</w:t>
    </w:r>
    <w:r>
      <w:rPr>
        <w:rStyle w:val="PageNumber"/>
      </w:rPr>
      <w:fldChar w:fldCharType="end"/>
    </w:r>
  </w:p>
  <w:p w:rsidR="00125645" w:rsidRPr="008E4C23" w:rsidRDefault="00125645" w:rsidP="008E4C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93D" w:rsidRDefault="004C093D">
      <w:r>
        <w:separator/>
      </w:r>
    </w:p>
  </w:footnote>
  <w:footnote w:type="continuationSeparator" w:id="0">
    <w:p w:rsidR="004C093D" w:rsidRDefault="004C09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90F62"/>
    <w:multiLevelType w:val="singleLevel"/>
    <w:tmpl w:val="41606694"/>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1">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4">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5">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6">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7">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8">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9">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1">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2">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13">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14">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15">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num w:numId="1">
    <w:abstractNumId w:val="4"/>
  </w:num>
  <w:num w:numId="2">
    <w:abstractNumId w:val="2"/>
  </w:num>
  <w:num w:numId="3">
    <w:abstractNumId w:val="3"/>
  </w:num>
  <w:num w:numId="4">
    <w:abstractNumId w:val="10"/>
  </w:num>
  <w:num w:numId="5">
    <w:abstractNumId w:val="0"/>
  </w:num>
  <w:num w:numId="6">
    <w:abstractNumId w:val="7"/>
  </w:num>
  <w:num w:numId="7">
    <w:abstractNumId w:val="11"/>
  </w:num>
  <w:num w:numId="8">
    <w:abstractNumId w:val="13"/>
  </w:num>
  <w:num w:numId="9">
    <w:abstractNumId w:val="14"/>
  </w:num>
  <w:num w:numId="10">
    <w:abstractNumId w:val="9"/>
  </w:num>
  <w:num w:numId="11">
    <w:abstractNumId w:val="15"/>
  </w:num>
  <w:num w:numId="12">
    <w:abstractNumId w:val="12"/>
  </w:num>
  <w:num w:numId="13">
    <w:abstractNumId w:val="1"/>
  </w:num>
  <w:num w:numId="14">
    <w:abstractNumId w:val="8"/>
  </w:num>
  <w:num w:numId="15">
    <w:abstractNumId w:val="5"/>
  </w:num>
  <w:num w:numId="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Document without cote"/>
    <w:docVar w:name="DocumentStyle" w:val="Standard OECD document"/>
    <w:docVar w:name="IsPublication" w:val="0"/>
    <w:docVar w:name="Language" w:val="English"/>
    <w:docVar w:name="PGLANDSCAPE" w:val="0"/>
  </w:docVars>
  <w:rsids>
    <w:rsidRoot w:val="008E4C23"/>
    <w:rsid w:val="00041D23"/>
    <w:rsid w:val="00125645"/>
    <w:rsid w:val="00167A21"/>
    <w:rsid w:val="001D61C4"/>
    <w:rsid w:val="002E7A14"/>
    <w:rsid w:val="0030014E"/>
    <w:rsid w:val="00376CC1"/>
    <w:rsid w:val="003E65FC"/>
    <w:rsid w:val="00466445"/>
    <w:rsid w:val="004C093D"/>
    <w:rsid w:val="005F45F0"/>
    <w:rsid w:val="00613AE5"/>
    <w:rsid w:val="00626BDB"/>
    <w:rsid w:val="008A5E4F"/>
    <w:rsid w:val="008E4C23"/>
    <w:rsid w:val="0091520D"/>
    <w:rsid w:val="00923D9D"/>
    <w:rsid w:val="00D60065"/>
    <w:rsid w:val="00DA2884"/>
    <w:rsid w:val="00E77E20"/>
    <w:rsid w:val="00FC7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69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A1EEB86E-AA1F-4604-8778-C1B5849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697</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O.E.C.D.</Company>
  <LinksUpToDate>false</LinksUpToDate>
  <CharactersWithSpaces>4661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 DERCOLE Marco</dc:creator>
  <cp:lastModifiedBy>Benjamin Rae</cp:lastModifiedBy>
  <cp:revision>2</cp:revision>
  <dcterms:created xsi:type="dcterms:W3CDTF">2015-05-20T16:25:00Z</dcterms:created>
  <dcterms:modified xsi:type="dcterms:W3CDTF">2015-05-20T16:25:00Z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ies>
</file>